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64" w:rsidRPr="00DE47CE" w:rsidRDefault="00F060C7" w:rsidP="009D5D64">
      <w:pPr>
        <w:pStyle w:val="Corpodeltesto21"/>
        <w:spacing w:after="0" w:line="200" w:lineRule="atLeast"/>
        <w:jc w:val="center"/>
        <w:rPr>
          <w:rFonts w:ascii="Calibri" w:hAnsi="Calibri"/>
          <w:b/>
          <w:bCs/>
          <w:sz w:val="32"/>
          <w:szCs w:val="28"/>
        </w:rPr>
      </w:pPr>
      <w:r>
        <w:rPr>
          <w:rFonts w:ascii="Calibri" w:hAnsi="Calibri"/>
          <w:b/>
          <w:bCs/>
          <w:sz w:val="32"/>
          <w:szCs w:val="28"/>
        </w:rPr>
        <w:t>P</w:t>
      </w:r>
      <w:bookmarkStart w:id="0" w:name="_GoBack"/>
      <w:bookmarkEnd w:id="0"/>
      <w:r>
        <w:rPr>
          <w:rFonts w:ascii="Calibri" w:hAnsi="Calibri"/>
          <w:b/>
          <w:bCs/>
          <w:sz w:val="32"/>
          <w:szCs w:val="28"/>
        </w:rPr>
        <w:t>eculiarità dell’esame di S</w:t>
      </w:r>
      <w:r w:rsidR="009D5D64" w:rsidRPr="00DE47CE">
        <w:rPr>
          <w:rFonts w:ascii="Calibri" w:hAnsi="Calibri"/>
          <w:b/>
          <w:bCs/>
          <w:sz w:val="32"/>
          <w:szCs w:val="28"/>
        </w:rPr>
        <w:t>tato nei Licei Musicali</w:t>
      </w:r>
    </w:p>
    <w:p w:rsidR="009D5D64" w:rsidRDefault="009D5D64" w:rsidP="009D5D64">
      <w:pPr>
        <w:pStyle w:val="Corpodeltesto21"/>
        <w:spacing w:after="0" w:line="200" w:lineRule="atLeast"/>
        <w:rPr>
          <w:rFonts w:ascii="Calibri" w:hAnsi="Calibri"/>
          <w:b/>
          <w:bCs/>
          <w:szCs w:val="28"/>
        </w:rPr>
      </w:pPr>
    </w:p>
    <w:p w:rsidR="009D5D64" w:rsidRDefault="009D5D64" w:rsidP="009D5D64">
      <w:pPr>
        <w:pStyle w:val="Corpodeltesto21"/>
        <w:spacing w:after="0" w:line="200" w:lineRule="atLeast"/>
        <w:rPr>
          <w:rFonts w:ascii="Calibri" w:hAnsi="Calibri"/>
          <w:bCs/>
          <w:sz w:val="24"/>
          <w:szCs w:val="24"/>
        </w:rPr>
      </w:pPr>
      <w:r w:rsidRPr="00160182">
        <w:rPr>
          <w:rFonts w:ascii="Calibri" w:hAnsi="Calibri"/>
          <w:bCs/>
          <w:sz w:val="24"/>
          <w:szCs w:val="24"/>
        </w:rPr>
        <w:t>Si ritiene utile riportare qui</w:t>
      </w:r>
      <w:r w:rsidR="00AC728E">
        <w:rPr>
          <w:rFonts w:ascii="Calibri" w:hAnsi="Calibri"/>
          <w:bCs/>
          <w:sz w:val="24"/>
          <w:szCs w:val="24"/>
        </w:rPr>
        <w:t>,</w:t>
      </w:r>
      <w:r w:rsidRPr="00160182">
        <w:rPr>
          <w:rFonts w:ascii="Calibri" w:hAnsi="Calibri"/>
          <w:bCs/>
          <w:sz w:val="24"/>
          <w:szCs w:val="24"/>
        </w:rPr>
        <w:t xml:space="preserve"> a favore della commissione i riferimenti normativi (e le conseguenti scelte del Liceo Musicale </w:t>
      </w:r>
      <w:proofErr w:type="spellStart"/>
      <w:r w:rsidR="00063A63" w:rsidRPr="00825108">
        <w:rPr>
          <w:rFonts w:ascii="Calibri" w:hAnsi="Calibri"/>
          <w:bCs/>
          <w:sz w:val="24"/>
          <w:szCs w:val="24"/>
          <w:highlight w:val="yellow"/>
        </w:rPr>
        <w:t>xxxx</w:t>
      </w:r>
      <w:proofErr w:type="spellEnd"/>
      <w:r w:rsidR="00AC728E">
        <w:rPr>
          <w:rFonts w:ascii="Calibri" w:hAnsi="Calibri"/>
          <w:bCs/>
          <w:sz w:val="24"/>
          <w:szCs w:val="24"/>
        </w:rPr>
        <w:t>)</w:t>
      </w:r>
      <w:r w:rsidRPr="00160182">
        <w:rPr>
          <w:rFonts w:ascii="Calibri" w:hAnsi="Calibri"/>
          <w:bCs/>
          <w:sz w:val="24"/>
          <w:szCs w:val="24"/>
        </w:rPr>
        <w:t>, riferiti alle specificità dell’esame di stato del liceo Musicale.</w:t>
      </w:r>
    </w:p>
    <w:p w:rsidR="009D5D64" w:rsidRDefault="009D5D64" w:rsidP="009D5D64">
      <w:pPr>
        <w:pStyle w:val="Corpodeltesto21"/>
        <w:spacing w:after="0" w:line="200" w:lineRule="atLeast"/>
        <w:rPr>
          <w:rFonts w:ascii="Calibri" w:hAnsi="Calibri"/>
          <w:bCs/>
          <w:sz w:val="24"/>
          <w:szCs w:val="24"/>
        </w:rPr>
      </w:pPr>
    </w:p>
    <w:p w:rsidR="00825108" w:rsidRPr="00160182" w:rsidRDefault="00825108" w:rsidP="009D5D64">
      <w:pPr>
        <w:pStyle w:val="Corpodeltesto21"/>
        <w:spacing w:after="0" w:line="200" w:lineRule="atLeast"/>
        <w:rPr>
          <w:rFonts w:ascii="Calibri" w:hAnsi="Calibri"/>
          <w:bCs/>
          <w:sz w:val="24"/>
          <w:szCs w:val="24"/>
        </w:rPr>
      </w:pPr>
    </w:p>
    <w:p w:rsidR="009D5D64" w:rsidRPr="00A20E6C" w:rsidRDefault="009D5D64" w:rsidP="009D5D64">
      <w:pPr>
        <w:pStyle w:val="Corpodeltesto21"/>
        <w:spacing w:after="0" w:line="200" w:lineRule="atLeast"/>
        <w:jc w:val="center"/>
        <w:rPr>
          <w:rFonts w:ascii="Calibri" w:hAnsi="Calibri"/>
          <w:b/>
          <w:bCs/>
          <w:sz w:val="24"/>
          <w:szCs w:val="24"/>
        </w:rPr>
      </w:pPr>
      <w:r w:rsidRPr="00A20E6C">
        <w:rPr>
          <w:rFonts w:ascii="Calibri" w:hAnsi="Calibri"/>
          <w:b/>
          <w:bCs/>
          <w:sz w:val="24"/>
          <w:szCs w:val="24"/>
        </w:rPr>
        <w:t>LA SECONDA PROVA “SCRITTA”</w:t>
      </w:r>
      <w:r>
        <w:rPr>
          <w:rFonts w:ascii="Calibri" w:hAnsi="Calibri"/>
          <w:b/>
          <w:bCs/>
          <w:sz w:val="24"/>
          <w:szCs w:val="24"/>
        </w:rPr>
        <w:t xml:space="preserve"> E LE PROBLEMATICHE CONNESSE</w:t>
      </w:r>
    </w:p>
    <w:p w:rsidR="009D5D64" w:rsidRDefault="009D5D64" w:rsidP="009D5D64">
      <w:pPr>
        <w:pStyle w:val="Corpodeltesto21"/>
        <w:spacing w:after="0" w:line="200" w:lineRule="atLeast"/>
        <w:rPr>
          <w:rFonts w:ascii="Calibri" w:hAnsi="Calibri"/>
          <w:bCs/>
          <w:sz w:val="24"/>
          <w:szCs w:val="24"/>
        </w:rPr>
      </w:pPr>
    </w:p>
    <w:p w:rsidR="00825108" w:rsidRPr="00160182" w:rsidRDefault="00825108" w:rsidP="009D5D64">
      <w:pPr>
        <w:pStyle w:val="Corpodeltesto21"/>
        <w:spacing w:after="0" w:line="200" w:lineRule="atLeast"/>
        <w:rPr>
          <w:rFonts w:ascii="Calibri" w:hAnsi="Calibri"/>
          <w:bCs/>
          <w:sz w:val="24"/>
          <w:szCs w:val="24"/>
        </w:rPr>
      </w:pPr>
    </w:p>
    <w:p w:rsidR="00063A63" w:rsidRDefault="009D5D64" w:rsidP="00063A63">
      <w:pPr>
        <w:pStyle w:val="Corpodeltesto21"/>
        <w:numPr>
          <w:ilvl w:val="0"/>
          <w:numId w:val="1"/>
        </w:numPr>
        <w:spacing w:after="0" w:line="200" w:lineRule="atLeast"/>
        <w:rPr>
          <w:rFonts w:ascii="Calibri" w:hAnsi="Calibri"/>
          <w:bCs/>
          <w:sz w:val="24"/>
          <w:szCs w:val="24"/>
        </w:rPr>
      </w:pPr>
      <w:r w:rsidRPr="00BF65C8">
        <w:rPr>
          <w:rFonts w:ascii="Calibri" w:hAnsi="Calibri"/>
          <w:b/>
          <w:bCs/>
          <w:sz w:val="24"/>
          <w:szCs w:val="24"/>
        </w:rPr>
        <w:t>D.M. n. 10 del 29 /01/2015</w:t>
      </w:r>
      <w:r w:rsidRPr="00160182">
        <w:rPr>
          <w:rFonts w:ascii="Calibri" w:hAnsi="Calibri"/>
          <w:bCs/>
          <w:sz w:val="24"/>
          <w:szCs w:val="24"/>
        </w:rPr>
        <w:t xml:space="preserve"> (Art.7)</w:t>
      </w:r>
      <w:r>
        <w:rPr>
          <w:rFonts w:ascii="Calibri" w:hAnsi="Calibri"/>
          <w:bCs/>
          <w:sz w:val="24"/>
          <w:szCs w:val="24"/>
        </w:rPr>
        <w:t xml:space="preserve"> </w:t>
      </w:r>
      <w:r w:rsidRPr="00160182">
        <w:rPr>
          <w:rFonts w:ascii="Calibri" w:hAnsi="Calibri"/>
          <w:bCs/>
          <w:sz w:val="24"/>
          <w:szCs w:val="24"/>
        </w:rPr>
        <w:t>Regolamento recante norme per lo svolgimento della seconda prova scritta degli esami di Stato</w:t>
      </w:r>
      <w:r>
        <w:rPr>
          <w:rFonts w:ascii="Calibri" w:hAnsi="Calibri"/>
          <w:bCs/>
          <w:sz w:val="24"/>
          <w:szCs w:val="24"/>
        </w:rPr>
        <w:t xml:space="preserve"> </w:t>
      </w:r>
      <w:r w:rsidRPr="00160182">
        <w:rPr>
          <w:rFonts w:ascii="Calibri" w:hAnsi="Calibri"/>
          <w:bCs/>
          <w:sz w:val="24"/>
          <w:szCs w:val="24"/>
        </w:rPr>
        <w:t>conclusivi dei corsi di studio di istruzione secondaria</w:t>
      </w:r>
      <w:r>
        <w:rPr>
          <w:rFonts w:ascii="Calibri" w:hAnsi="Calibri"/>
          <w:bCs/>
          <w:sz w:val="24"/>
          <w:szCs w:val="24"/>
        </w:rPr>
        <w:t xml:space="preserve"> </w:t>
      </w:r>
      <w:r w:rsidRPr="00160182">
        <w:rPr>
          <w:rFonts w:ascii="Calibri" w:hAnsi="Calibri"/>
          <w:bCs/>
          <w:sz w:val="24"/>
          <w:szCs w:val="24"/>
        </w:rPr>
        <w:t xml:space="preserve">di secondo grado. </w:t>
      </w:r>
      <w:r>
        <w:rPr>
          <w:rFonts w:ascii="Calibri" w:hAnsi="Calibri"/>
          <w:bCs/>
          <w:sz w:val="24"/>
          <w:szCs w:val="24"/>
        </w:rPr>
        <w:t xml:space="preserve"> </w:t>
      </w:r>
      <w:r w:rsidRPr="00160182">
        <w:rPr>
          <w:rFonts w:ascii="Calibri" w:hAnsi="Calibri"/>
          <w:bCs/>
          <w:sz w:val="24"/>
          <w:szCs w:val="24"/>
        </w:rPr>
        <w:t>(GU Serie Generale n.45 del 24-2-2015)</w:t>
      </w:r>
      <w:r w:rsidR="00063A63">
        <w:rPr>
          <w:rFonts w:ascii="Calibri" w:hAnsi="Calibri"/>
          <w:bCs/>
          <w:sz w:val="24"/>
          <w:szCs w:val="24"/>
        </w:rPr>
        <w:t xml:space="preserve">. </w:t>
      </w:r>
    </w:p>
    <w:p w:rsidR="009D5D64" w:rsidRDefault="009D5D64" w:rsidP="00063A63">
      <w:pPr>
        <w:pStyle w:val="Corpodeltesto21"/>
        <w:spacing w:after="0" w:line="200" w:lineRule="atLeast"/>
        <w:ind w:firstLine="360"/>
        <w:rPr>
          <w:rFonts w:ascii="Calibri" w:hAnsi="Calibri"/>
          <w:bCs/>
          <w:sz w:val="24"/>
          <w:szCs w:val="24"/>
        </w:rPr>
      </w:pPr>
      <w:r>
        <w:rPr>
          <w:rFonts w:ascii="Calibri" w:hAnsi="Calibri"/>
          <w:bCs/>
          <w:sz w:val="24"/>
          <w:szCs w:val="24"/>
        </w:rPr>
        <w:t>L’art. 7 è interamente dedicato alla seconda prova scritta, composta di due parti:</w:t>
      </w:r>
    </w:p>
    <w:p w:rsidR="009D5D64" w:rsidRPr="00DE47CE" w:rsidRDefault="009D5D64" w:rsidP="009D5D64">
      <w:pPr>
        <w:ind w:left="709" w:right="991"/>
        <w:rPr>
          <w:rFonts w:ascii="Calibri" w:hAnsi="Calibri"/>
          <w:i/>
          <w:sz w:val="24"/>
          <w:szCs w:val="24"/>
        </w:rPr>
      </w:pPr>
      <w:r w:rsidRPr="00DE47CE">
        <w:rPr>
          <w:rFonts w:ascii="Calibri" w:hAnsi="Calibri"/>
          <w:i/>
          <w:sz w:val="24"/>
          <w:szCs w:val="24"/>
        </w:rPr>
        <w:t xml:space="preserve">1.  Con  riferimento  alla  sezione  musicale  la  prova   di   cui all'articolo 1 si svolge nelle due parti descritte nei commi 2 e 3.    </w:t>
      </w:r>
    </w:p>
    <w:p w:rsidR="009D5D64" w:rsidRPr="00DE47CE" w:rsidRDefault="009D5D64" w:rsidP="009D5D64">
      <w:pPr>
        <w:ind w:left="709" w:right="991"/>
        <w:rPr>
          <w:rFonts w:ascii="Calibri" w:hAnsi="Calibri"/>
          <w:i/>
          <w:sz w:val="24"/>
          <w:szCs w:val="24"/>
        </w:rPr>
      </w:pPr>
      <w:r w:rsidRPr="00DE47CE">
        <w:rPr>
          <w:rFonts w:ascii="Calibri" w:hAnsi="Calibri"/>
          <w:i/>
          <w:sz w:val="24"/>
          <w:szCs w:val="24"/>
        </w:rPr>
        <w:t xml:space="preserve">2. La prima parte della prova, che ha la durata di un  giorno,  per massimo sei ore, ha ad oggetto una delle seguenti tipologie (…) </w:t>
      </w:r>
    </w:p>
    <w:p w:rsidR="009D5D64" w:rsidRPr="00DE47CE" w:rsidRDefault="009D5D64" w:rsidP="009D5D64">
      <w:pPr>
        <w:ind w:left="709" w:right="991"/>
        <w:rPr>
          <w:rFonts w:ascii="Calibri" w:hAnsi="Calibri"/>
          <w:i/>
          <w:sz w:val="24"/>
          <w:szCs w:val="24"/>
        </w:rPr>
      </w:pPr>
      <w:r w:rsidRPr="00DE47CE">
        <w:rPr>
          <w:rFonts w:ascii="Calibri" w:hAnsi="Calibri"/>
          <w:i/>
          <w:sz w:val="24"/>
          <w:szCs w:val="24"/>
        </w:rPr>
        <w:t xml:space="preserve">3. La seconda parte si svolge il giorno successivo e consiste nella prova di strumento. Essa,  della  durata  massima  di  venti  minuti, prevede l'esecuzione e l'interpretazione  di  brani  solistici  o  di musica  d'insieme  o  tratti  da  un  repertorio  concertistico   con riduzione pianistica. </w:t>
      </w:r>
    </w:p>
    <w:p w:rsidR="009D5D64" w:rsidRDefault="009D5D64" w:rsidP="009D5D64">
      <w:pPr>
        <w:pStyle w:val="Corpodeltesto21"/>
        <w:spacing w:after="0" w:line="200" w:lineRule="atLeast"/>
        <w:rPr>
          <w:rFonts w:ascii="Calibri" w:hAnsi="Calibri"/>
          <w:bCs/>
          <w:sz w:val="24"/>
          <w:szCs w:val="24"/>
        </w:rPr>
      </w:pPr>
      <w:r>
        <w:rPr>
          <w:rFonts w:ascii="Calibri" w:hAnsi="Calibri"/>
          <w:bCs/>
          <w:sz w:val="24"/>
          <w:szCs w:val="24"/>
        </w:rPr>
        <w:t xml:space="preserve"> </w:t>
      </w:r>
    </w:p>
    <w:p w:rsidR="009C06E8" w:rsidRPr="009C06E8" w:rsidRDefault="009D5D64" w:rsidP="009C06E8">
      <w:pPr>
        <w:pStyle w:val="NormaleWeb"/>
        <w:numPr>
          <w:ilvl w:val="0"/>
          <w:numId w:val="1"/>
        </w:numPr>
        <w:rPr>
          <w:lang w:eastAsia="it-IT"/>
        </w:rPr>
      </w:pPr>
      <w:r w:rsidRPr="009C06E8">
        <w:rPr>
          <w:rFonts w:ascii="Calibri" w:hAnsi="Calibri"/>
          <w:b/>
          <w:bCs/>
        </w:rPr>
        <w:t xml:space="preserve">O.M. </w:t>
      </w:r>
      <w:r w:rsidR="00063A63" w:rsidRPr="009C06E8">
        <w:rPr>
          <w:rFonts w:ascii="Calibri" w:hAnsi="Calibri"/>
          <w:b/>
          <w:bCs/>
        </w:rPr>
        <w:t>205</w:t>
      </w:r>
      <w:r w:rsidR="00825108">
        <w:rPr>
          <w:rFonts w:ascii="Calibri" w:hAnsi="Calibri"/>
          <w:b/>
          <w:bCs/>
        </w:rPr>
        <w:t>/2019</w:t>
      </w:r>
      <w:r w:rsidRPr="009C06E8">
        <w:rPr>
          <w:rFonts w:ascii="Calibri" w:hAnsi="Calibri"/>
          <w:b/>
          <w:bCs/>
        </w:rPr>
        <w:t xml:space="preserve"> Art.1</w:t>
      </w:r>
      <w:r w:rsidR="009C06E8" w:rsidRPr="009C06E8">
        <w:rPr>
          <w:rFonts w:ascii="Calibri" w:hAnsi="Calibri"/>
          <w:b/>
          <w:bCs/>
        </w:rPr>
        <w:t>3</w:t>
      </w:r>
      <w:r w:rsidRPr="009C06E8">
        <w:rPr>
          <w:rFonts w:ascii="Calibri" w:hAnsi="Calibri"/>
          <w:b/>
          <w:bCs/>
        </w:rPr>
        <w:t xml:space="preserve"> </w:t>
      </w:r>
      <w:r w:rsidR="009C06E8">
        <w:rPr>
          <w:rFonts w:ascii="Calibri" w:hAnsi="Calibri"/>
          <w:b/>
          <w:bCs/>
        </w:rPr>
        <w:t xml:space="preserve">comma 1 - </w:t>
      </w:r>
      <w:r w:rsidRPr="009C06E8">
        <w:rPr>
          <w:rFonts w:ascii="Calibri" w:hAnsi="Calibri"/>
          <w:b/>
          <w:bCs/>
          <w:i/>
          <w:iCs/>
        </w:rPr>
        <w:t>Calendario delle prove</w:t>
      </w:r>
      <w:r w:rsidRPr="009C06E8">
        <w:rPr>
          <w:rFonts w:ascii="Calibri" w:hAnsi="Calibri"/>
          <w:b/>
          <w:bCs/>
        </w:rPr>
        <w:t xml:space="preserve"> </w:t>
      </w:r>
      <w:r w:rsidR="009C06E8" w:rsidRPr="009C06E8">
        <w:rPr>
          <w:rFonts w:ascii="Calibri" w:hAnsi="Calibri"/>
          <w:bCs/>
        </w:rPr>
        <w:t>f</w:t>
      </w:r>
    </w:p>
    <w:p w:rsidR="009C06E8" w:rsidRPr="009C06E8" w:rsidRDefault="009C06E8" w:rsidP="006972F3">
      <w:pPr>
        <w:pStyle w:val="NormaleWeb"/>
        <w:numPr>
          <w:ilvl w:val="0"/>
          <w:numId w:val="2"/>
        </w:numPr>
        <w:rPr>
          <w:rFonts w:asciiTheme="minorHAnsi" w:hAnsiTheme="minorHAnsi" w:cstheme="minorHAnsi"/>
          <w:i/>
          <w:lang w:eastAsia="it-IT"/>
        </w:rPr>
      </w:pPr>
      <w:r w:rsidRPr="009C06E8">
        <w:rPr>
          <w:rFonts w:asciiTheme="minorHAnsi" w:eastAsia="TimesNewRomanPSMT" w:hAnsiTheme="minorHAnsi" w:cstheme="minorHAnsi"/>
          <w:b/>
          <w:i/>
          <w:lang w:eastAsia="it-IT"/>
        </w:rPr>
        <w:t>prima prova scritta</w:t>
      </w:r>
      <w:r w:rsidRPr="009C06E8">
        <w:rPr>
          <w:rFonts w:asciiTheme="minorHAnsi" w:eastAsia="TimesNewRomanPSMT" w:hAnsiTheme="minorHAnsi" w:cstheme="minorHAnsi"/>
          <w:i/>
          <w:lang w:eastAsia="it-IT"/>
        </w:rPr>
        <w:t xml:space="preserve">: </w:t>
      </w:r>
      <w:proofErr w:type="spellStart"/>
      <w:r w:rsidRPr="009C06E8">
        <w:rPr>
          <w:rFonts w:asciiTheme="minorHAnsi" w:eastAsia="TimesNewRomanPSMT" w:hAnsiTheme="minorHAnsi" w:cstheme="minorHAnsi"/>
          <w:i/>
          <w:lang w:eastAsia="it-IT"/>
        </w:rPr>
        <w:t>mercoledi</w:t>
      </w:r>
      <w:proofErr w:type="spellEnd"/>
      <w:r w:rsidRPr="009C06E8">
        <w:rPr>
          <w:rFonts w:asciiTheme="minorHAnsi" w:eastAsia="TimesNewRomanPSMT" w:hAnsiTheme="minorHAnsi" w:cstheme="minorHAnsi"/>
          <w:i/>
          <w:lang w:eastAsia="it-IT"/>
        </w:rPr>
        <w:t>̀ 19 giugno 2019, dalle ore 8:30 (durata della prova: sei ore);</w:t>
      </w:r>
    </w:p>
    <w:p w:rsidR="009C06E8" w:rsidRPr="006972F3" w:rsidRDefault="009C06E8" w:rsidP="006972F3">
      <w:pPr>
        <w:pStyle w:val="NormaleWeb"/>
        <w:numPr>
          <w:ilvl w:val="0"/>
          <w:numId w:val="2"/>
        </w:numPr>
        <w:rPr>
          <w:lang w:eastAsia="it-IT"/>
        </w:rPr>
      </w:pPr>
      <w:r w:rsidRPr="009C06E8">
        <w:rPr>
          <w:rFonts w:asciiTheme="minorHAnsi" w:eastAsia="TimesNewRomanPSMT" w:hAnsiTheme="minorHAnsi" w:cstheme="minorHAnsi"/>
          <w:b/>
          <w:i/>
          <w:lang w:eastAsia="it-IT"/>
        </w:rPr>
        <w:t>seconda prova</w:t>
      </w:r>
      <w:r w:rsidRPr="009C06E8">
        <w:rPr>
          <w:rFonts w:asciiTheme="minorHAnsi" w:eastAsia="TimesNewRomanPSMT" w:hAnsiTheme="minorHAnsi" w:cstheme="minorHAnsi"/>
          <w:i/>
          <w:lang w:eastAsia="it-IT"/>
        </w:rPr>
        <w:t xml:space="preserve"> in forma scritta, grafica o scritto-grafica, pratica, compositivo/esecutiva, musicale e coreutica: </w:t>
      </w:r>
      <w:proofErr w:type="spellStart"/>
      <w:r w:rsidRPr="009C06E8">
        <w:rPr>
          <w:rFonts w:asciiTheme="minorHAnsi" w:eastAsia="TimesNewRomanPSMT" w:hAnsiTheme="minorHAnsi" w:cstheme="minorHAnsi"/>
          <w:i/>
          <w:lang w:eastAsia="it-IT"/>
        </w:rPr>
        <w:t>giovedi</w:t>
      </w:r>
      <w:proofErr w:type="spellEnd"/>
      <w:r w:rsidRPr="009C06E8">
        <w:rPr>
          <w:rFonts w:asciiTheme="minorHAnsi" w:eastAsia="TimesNewRomanPSMT" w:hAnsiTheme="minorHAnsi" w:cstheme="minorHAnsi"/>
          <w:i/>
          <w:lang w:eastAsia="it-IT"/>
        </w:rPr>
        <w:t xml:space="preserve">̀ 20 giugno 2019, dalle ore 8:30. La durata della seconda prova è prevista nei quadri di riferimento allegati al </w:t>
      </w:r>
      <w:proofErr w:type="spellStart"/>
      <w:r w:rsidRPr="009C06E8">
        <w:rPr>
          <w:rFonts w:asciiTheme="minorHAnsi" w:eastAsia="TimesNewRomanPSMT" w:hAnsiTheme="minorHAnsi" w:cstheme="minorHAnsi"/>
          <w:i/>
          <w:lang w:eastAsia="it-IT"/>
        </w:rPr>
        <w:t>d.m.</w:t>
      </w:r>
      <w:proofErr w:type="spellEnd"/>
      <w:r w:rsidRPr="009C06E8">
        <w:rPr>
          <w:rFonts w:asciiTheme="minorHAnsi" w:eastAsia="TimesNewRomanPSMT" w:hAnsiTheme="minorHAnsi" w:cstheme="minorHAnsi"/>
          <w:i/>
          <w:lang w:eastAsia="it-IT"/>
        </w:rPr>
        <w:t xml:space="preserve"> n.769 del 2018”);</w:t>
      </w:r>
    </w:p>
    <w:p w:rsidR="006972F3" w:rsidRPr="009C06E8" w:rsidRDefault="006972F3" w:rsidP="006972F3">
      <w:pPr>
        <w:pStyle w:val="NormaleWeb"/>
        <w:ind w:left="720"/>
        <w:rPr>
          <w:lang w:eastAsia="it-IT"/>
        </w:rPr>
      </w:pPr>
      <w:r w:rsidRPr="006972F3">
        <w:rPr>
          <w:rFonts w:asciiTheme="minorHAnsi" w:eastAsia="TimesNewRomanPSMT" w:hAnsiTheme="minorHAnsi" w:cstheme="minorHAnsi"/>
          <w:i/>
          <w:lang w:eastAsia="it-IT"/>
        </w:rPr>
        <w:t>Per lo svolgimento di questa parte della seconda prova (TAC) il comma 7 dell’art.127 precisa che</w:t>
      </w:r>
      <w:r>
        <w:rPr>
          <w:rFonts w:asciiTheme="minorHAnsi" w:eastAsia="TimesNewRomanPSMT" w:hAnsiTheme="minorHAnsi" w:cstheme="minorHAnsi"/>
          <w:b/>
          <w:i/>
          <w:lang w:eastAsia="it-IT"/>
        </w:rPr>
        <w:t xml:space="preserve"> “</w:t>
      </w:r>
      <w:r>
        <w:rPr>
          <w:rFonts w:ascii="TimesNewRomanPSMT" w:eastAsia="TimesNewRomanPSMT" w:hAnsi="TimesNewRomanPSMT" w:cs="TimesNewRomanPSMT"/>
          <w:lang w:eastAsia="it-IT"/>
        </w:rPr>
        <w:t>…</w:t>
      </w:r>
      <w:r w:rsidRPr="00530ED2">
        <w:rPr>
          <w:rFonts w:asciiTheme="minorHAnsi" w:eastAsia="TimesNewRomanPSMT" w:hAnsiTheme="minorHAnsi" w:cstheme="minorHAnsi"/>
          <w:i/>
          <w:lang w:eastAsia="it-IT"/>
        </w:rPr>
        <w:t xml:space="preserve"> il candidato deve potersi avvalere di idonee dotazioni strumentali (quali, a esempio, </w:t>
      </w:r>
      <w:r w:rsidRPr="00530ED2">
        <w:rPr>
          <w:rFonts w:asciiTheme="minorHAnsi" w:hAnsiTheme="minorHAnsi" w:cstheme="minorHAnsi"/>
          <w:i/>
          <w:iCs/>
          <w:lang w:eastAsia="it-IT"/>
        </w:rPr>
        <w:t xml:space="preserve">computer, </w:t>
      </w:r>
      <w:r w:rsidRPr="00530ED2">
        <w:rPr>
          <w:rFonts w:asciiTheme="minorHAnsi" w:eastAsia="TimesNewRomanPSMT" w:hAnsiTheme="minorHAnsi" w:cstheme="minorHAnsi"/>
          <w:i/>
          <w:lang w:eastAsia="it-IT"/>
        </w:rPr>
        <w:t xml:space="preserve">tastiera, cuffie, riproduttori di file audio, </w:t>
      </w:r>
      <w:r w:rsidRPr="00530ED2">
        <w:rPr>
          <w:rFonts w:asciiTheme="minorHAnsi" w:hAnsiTheme="minorHAnsi" w:cstheme="minorHAnsi"/>
          <w:i/>
          <w:iCs/>
          <w:lang w:eastAsia="it-IT"/>
        </w:rPr>
        <w:t xml:space="preserve">software </w:t>
      </w:r>
      <w:r w:rsidRPr="00530ED2">
        <w:rPr>
          <w:rFonts w:asciiTheme="minorHAnsi" w:eastAsia="TimesNewRomanPSMT" w:hAnsiTheme="minorHAnsi" w:cstheme="minorHAnsi"/>
          <w:i/>
          <w:lang w:eastAsia="it-IT"/>
        </w:rPr>
        <w:t>dedicati)</w:t>
      </w:r>
      <w:r w:rsidRPr="006972F3">
        <w:rPr>
          <w:rFonts w:asciiTheme="minorHAnsi" w:eastAsia="TimesNewRomanPSMT" w:hAnsiTheme="minorHAnsi" w:cstheme="minorHAnsi"/>
          <w:i/>
          <w:lang w:eastAsia="it-IT"/>
        </w:rPr>
        <w:t>”</w:t>
      </w:r>
    </w:p>
    <w:p w:rsidR="00AC728E" w:rsidRDefault="00AC728E" w:rsidP="006972F3">
      <w:pPr>
        <w:pStyle w:val="Corpodeltesto21"/>
        <w:spacing w:after="0" w:line="200" w:lineRule="atLeast"/>
        <w:ind w:left="360"/>
        <w:rPr>
          <w:rFonts w:ascii="Calibri" w:hAnsi="Calibri"/>
          <w:b/>
          <w:bCs/>
          <w:sz w:val="24"/>
          <w:szCs w:val="24"/>
        </w:rPr>
      </w:pPr>
    </w:p>
    <w:p w:rsidR="009C06E8" w:rsidRPr="009C06E8" w:rsidRDefault="006972F3" w:rsidP="00AC728E">
      <w:pPr>
        <w:pStyle w:val="Corpodeltesto21"/>
        <w:spacing w:after="0" w:line="200" w:lineRule="atLeast"/>
        <w:ind w:left="708"/>
        <w:rPr>
          <w:rFonts w:ascii="Calibri" w:hAnsi="Calibri"/>
          <w:b/>
          <w:bCs/>
          <w:sz w:val="24"/>
          <w:szCs w:val="24"/>
        </w:rPr>
      </w:pPr>
      <w:r>
        <w:rPr>
          <w:rFonts w:ascii="Calibri" w:hAnsi="Calibri"/>
          <w:b/>
          <w:bCs/>
          <w:sz w:val="24"/>
          <w:szCs w:val="24"/>
        </w:rPr>
        <w:t>La peculiarità dei Licei Musicali è definita dall’art. 17 comma 7 riferito alla seconda parte delle seconda prova:</w:t>
      </w:r>
    </w:p>
    <w:p w:rsidR="009C06E8" w:rsidRDefault="00AC728E" w:rsidP="00AC728E">
      <w:pPr>
        <w:pStyle w:val="Corpodeltesto21"/>
        <w:spacing w:after="0" w:line="200" w:lineRule="atLeast"/>
        <w:ind w:left="708"/>
        <w:rPr>
          <w:rFonts w:ascii="TimesNewRomanPSMT" w:eastAsia="TimesNewRomanPSMT" w:hAnsi="TimesNewRomanPSMT" w:cs="TimesNewRomanPSMT"/>
          <w:sz w:val="24"/>
          <w:szCs w:val="24"/>
          <w:lang w:eastAsia="it-IT"/>
        </w:rPr>
      </w:pPr>
      <w:r>
        <w:rPr>
          <w:rFonts w:ascii="TimesNewRomanPSMT" w:eastAsia="TimesNewRomanPSMT" w:hAnsi="TimesNewRomanPSMT" w:cs="TimesNewRomanPSMT"/>
          <w:sz w:val="24"/>
          <w:szCs w:val="24"/>
          <w:lang w:eastAsia="it-IT"/>
        </w:rPr>
        <w:t>“</w:t>
      </w:r>
      <w:r w:rsidR="009C06E8" w:rsidRPr="00530ED2">
        <w:rPr>
          <w:rFonts w:asciiTheme="minorHAnsi" w:eastAsia="TimesNewRomanPSMT" w:hAnsiTheme="minorHAnsi" w:cstheme="minorHAnsi"/>
          <w:i/>
          <w:sz w:val="24"/>
          <w:szCs w:val="24"/>
          <w:lang w:eastAsia="it-IT"/>
        </w:rPr>
        <w:t xml:space="preserve">7. Nei licei musicali e coreutici, qualora necessario, al fine di assicurare il regolare svolgimento dell'esame, con decisione motivata del presidente, la seconda parte della seconda prova </w:t>
      </w:r>
      <w:proofErr w:type="spellStart"/>
      <w:r w:rsidR="009C06E8" w:rsidRPr="00530ED2">
        <w:rPr>
          <w:rFonts w:asciiTheme="minorHAnsi" w:eastAsia="TimesNewRomanPSMT" w:hAnsiTheme="minorHAnsi" w:cstheme="minorHAnsi"/>
          <w:i/>
          <w:sz w:val="24"/>
          <w:szCs w:val="24"/>
          <w:lang w:eastAsia="it-IT"/>
        </w:rPr>
        <w:t>puo</w:t>
      </w:r>
      <w:proofErr w:type="spellEnd"/>
      <w:r w:rsidR="009C06E8" w:rsidRPr="00530ED2">
        <w:rPr>
          <w:rFonts w:asciiTheme="minorHAnsi" w:eastAsia="TimesNewRomanPSMT" w:hAnsiTheme="minorHAnsi" w:cstheme="minorHAnsi"/>
          <w:i/>
          <w:sz w:val="24"/>
          <w:szCs w:val="24"/>
          <w:lang w:eastAsia="it-IT"/>
        </w:rPr>
        <w:t xml:space="preserve">̀ svolgersi in due o </w:t>
      </w:r>
      <w:proofErr w:type="spellStart"/>
      <w:r w:rsidR="009C06E8" w:rsidRPr="00530ED2">
        <w:rPr>
          <w:rFonts w:asciiTheme="minorHAnsi" w:eastAsia="TimesNewRomanPSMT" w:hAnsiTheme="minorHAnsi" w:cstheme="minorHAnsi"/>
          <w:i/>
          <w:sz w:val="24"/>
          <w:szCs w:val="24"/>
          <w:lang w:eastAsia="it-IT"/>
        </w:rPr>
        <w:t>piu</w:t>
      </w:r>
      <w:proofErr w:type="spellEnd"/>
      <w:r w:rsidR="009C06E8" w:rsidRPr="00530ED2">
        <w:rPr>
          <w:rFonts w:asciiTheme="minorHAnsi" w:eastAsia="TimesNewRomanPSMT" w:hAnsiTheme="minorHAnsi" w:cstheme="minorHAnsi"/>
          <w:i/>
          <w:sz w:val="24"/>
          <w:szCs w:val="24"/>
          <w:lang w:eastAsia="it-IT"/>
        </w:rPr>
        <w:t>̀ giorni con convocazioni differite dei candidati per tipologia di strumento nei licei musicali e per tipologia di danza nei licei coreutici.</w:t>
      </w:r>
      <w:r>
        <w:rPr>
          <w:rFonts w:ascii="TimesNewRomanPSMT" w:eastAsia="TimesNewRomanPSMT" w:hAnsi="TimesNewRomanPSMT" w:cs="TimesNewRomanPSMT"/>
          <w:sz w:val="24"/>
          <w:szCs w:val="24"/>
          <w:lang w:eastAsia="it-IT"/>
        </w:rPr>
        <w:t>”</w:t>
      </w:r>
      <w:r w:rsidR="009C06E8" w:rsidRPr="00530ED2">
        <w:rPr>
          <w:rFonts w:ascii="TimesNewRomanPSMT" w:eastAsia="TimesNewRomanPSMT" w:hAnsi="TimesNewRomanPSMT" w:cs="TimesNewRomanPSMT" w:hint="eastAsia"/>
          <w:sz w:val="24"/>
          <w:szCs w:val="24"/>
          <w:lang w:eastAsia="it-IT"/>
        </w:rPr>
        <w:t xml:space="preserve"> </w:t>
      </w:r>
    </w:p>
    <w:p w:rsidR="009D5D64" w:rsidRDefault="009D5D64" w:rsidP="009D5D64">
      <w:pPr>
        <w:pStyle w:val="Corpodeltesto21"/>
        <w:spacing w:after="0" w:line="200" w:lineRule="atLeast"/>
        <w:rPr>
          <w:rFonts w:ascii="Calibri" w:hAnsi="Calibri"/>
          <w:bCs/>
          <w:sz w:val="24"/>
          <w:szCs w:val="24"/>
        </w:rPr>
      </w:pPr>
    </w:p>
    <w:p w:rsidR="009D5D64" w:rsidRDefault="009D5D64" w:rsidP="009D5D64">
      <w:pPr>
        <w:pStyle w:val="Corpodeltesto21"/>
        <w:spacing w:line="200" w:lineRule="atLeast"/>
        <w:rPr>
          <w:rFonts w:ascii="Calibri" w:hAnsi="Calibri"/>
          <w:bCs/>
          <w:sz w:val="24"/>
          <w:szCs w:val="24"/>
          <w:u w:val="single"/>
        </w:rPr>
      </w:pPr>
    </w:p>
    <w:p w:rsidR="00530ED2" w:rsidRPr="00530ED2" w:rsidRDefault="00530ED2" w:rsidP="00AC728E">
      <w:pPr>
        <w:pStyle w:val="Corpodeltesto21"/>
        <w:numPr>
          <w:ilvl w:val="0"/>
          <w:numId w:val="1"/>
        </w:numPr>
        <w:spacing w:line="200" w:lineRule="atLeast"/>
        <w:rPr>
          <w:rFonts w:asciiTheme="minorHAnsi" w:hAnsiTheme="minorHAnsi" w:cstheme="minorHAnsi"/>
          <w:bCs/>
          <w:sz w:val="22"/>
          <w:szCs w:val="22"/>
        </w:rPr>
      </w:pPr>
      <w:r>
        <w:rPr>
          <w:rFonts w:asciiTheme="minorHAnsi" w:hAnsiTheme="minorHAnsi" w:cstheme="minorHAnsi"/>
          <w:b/>
          <w:bCs/>
          <w:sz w:val="22"/>
          <w:szCs w:val="22"/>
        </w:rPr>
        <w:t>P</w:t>
      </w:r>
      <w:r w:rsidR="009D5D64" w:rsidRPr="00530ED2">
        <w:rPr>
          <w:rFonts w:asciiTheme="minorHAnsi" w:hAnsiTheme="minorHAnsi" w:cstheme="minorHAnsi"/>
          <w:b/>
          <w:bCs/>
          <w:sz w:val="22"/>
          <w:szCs w:val="22"/>
        </w:rPr>
        <w:t>er la valutazione della seconda parte della seconda prova</w:t>
      </w:r>
      <w:r w:rsidRPr="00530ED2">
        <w:rPr>
          <w:rFonts w:asciiTheme="minorHAnsi" w:hAnsiTheme="minorHAnsi" w:cstheme="minorHAnsi"/>
          <w:bCs/>
          <w:sz w:val="22"/>
          <w:szCs w:val="22"/>
        </w:rPr>
        <w:t>,</w:t>
      </w:r>
      <w:r w:rsidR="009D5D64" w:rsidRPr="00530ED2">
        <w:rPr>
          <w:rFonts w:asciiTheme="minorHAnsi" w:hAnsiTheme="minorHAnsi" w:cstheme="minorHAnsi"/>
          <w:bCs/>
          <w:sz w:val="22"/>
          <w:szCs w:val="22"/>
        </w:rPr>
        <w:t xml:space="preserve"> </w:t>
      </w:r>
      <w:r w:rsidRPr="00530ED2">
        <w:rPr>
          <w:rFonts w:asciiTheme="minorHAnsi" w:hAnsiTheme="minorHAnsi" w:cstheme="minorHAnsi"/>
          <w:bCs/>
          <w:sz w:val="22"/>
          <w:szCs w:val="22"/>
        </w:rPr>
        <w:t>ai sensi dell’ art. 9 comma 2 della OM 205/2019</w:t>
      </w:r>
      <w:r>
        <w:rPr>
          <w:rFonts w:asciiTheme="minorHAnsi" w:hAnsiTheme="minorHAnsi" w:cstheme="minorHAnsi"/>
          <w:bCs/>
          <w:sz w:val="22"/>
          <w:szCs w:val="22"/>
        </w:rPr>
        <w:t>:</w:t>
      </w:r>
      <w:r w:rsidRPr="00530ED2">
        <w:rPr>
          <w:rFonts w:asciiTheme="minorHAnsi" w:hAnsiTheme="minorHAnsi" w:cstheme="minorHAnsi"/>
          <w:bCs/>
          <w:sz w:val="22"/>
          <w:szCs w:val="22"/>
        </w:rPr>
        <w:t xml:space="preserve"> ”</w:t>
      </w:r>
      <w:r w:rsidRPr="00530ED2">
        <w:rPr>
          <w:rFonts w:asciiTheme="minorHAnsi" w:hAnsiTheme="minorHAnsi" w:cstheme="minorHAnsi"/>
          <w:bCs/>
          <w:i/>
          <w:sz w:val="22"/>
          <w:szCs w:val="22"/>
        </w:rPr>
        <w:t>Nei licei musicali e coreutici, ai fini dello svolgimento della seconda prova, con riguardo rispettivamente alla parte relativa allo strumento nel liceo musicale e alla parte relativa alla esibizione individuale nel liceo coreutico, la commissione si avvale di personale esperto, anche utilizzando docenti della scuola stessa. Le nomine degli esperti vengono effettuate dal presidente della commissione in sede di riunione plenaria, affisse all'albo della scuola e comunicate al competente Ufficio scolastico regionale</w:t>
      </w:r>
      <w:r>
        <w:rPr>
          <w:rFonts w:asciiTheme="minorHAnsi" w:hAnsiTheme="minorHAnsi" w:cstheme="minorHAnsi"/>
          <w:bCs/>
          <w:sz w:val="22"/>
          <w:szCs w:val="22"/>
        </w:rPr>
        <w:t>”.</w:t>
      </w:r>
    </w:p>
    <w:p w:rsidR="009D5D64" w:rsidRPr="00530ED2" w:rsidRDefault="009D5D64" w:rsidP="00AC728E">
      <w:pPr>
        <w:pStyle w:val="Corpodeltesto21"/>
        <w:spacing w:line="200" w:lineRule="atLeast"/>
        <w:ind w:left="360"/>
        <w:rPr>
          <w:rFonts w:ascii="Calibri" w:hAnsi="Calibri"/>
          <w:bCs/>
          <w:sz w:val="22"/>
          <w:szCs w:val="22"/>
        </w:rPr>
      </w:pPr>
      <w:r w:rsidRPr="00530ED2">
        <w:rPr>
          <w:rFonts w:ascii="Calibri" w:hAnsi="Calibri"/>
          <w:bCs/>
          <w:sz w:val="22"/>
          <w:szCs w:val="22"/>
        </w:rPr>
        <w:lastRenderedPageBreak/>
        <w:t xml:space="preserve">I docenti di strumento del Liceo </w:t>
      </w:r>
      <w:proofErr w:type="spellStart"/>
      <w:r w:rsidR="00530ED2" w:rsidRPr="00530ED2">
        <w:rPr>
          <w:rFonts w:ascii="Calibri" w:hAnsi="Calibri"/>
          <w:bCs/>
          <w:sz w:val="22"/>
          <w:szCs w:val="22"/>
        </w:rPr>
        <w:t>xxxx</w:t>
      </w:r>
      <w:proofErr w:type="spellEnd"/>
      <w:r w:rsidRPr="00530ED2">
        <w:rPr>
          <w:rFonts w:ascii="Calibri" w:hAnsi="Calibri"/>
          <w:bCs/>
          <w:sz w:val="22"/>
          <w:szCs w:val="22"/>
        </w:rPr>
        <w:t xml:space="preserve"> hanno dichiarato al dirigente scolastico la propria disponibilità ad essere nominati esperti dal Presidente della Commissione. Le disponibilità sono acquisite agli atti</w:t>
      </w:r>
      <w:r w:rsidR="00530ED2">
        <w:rPr>
          <w:rFonts w:ascii="Calibri" w:hAnsi="Calibri"/>
          <w:bCs/>
          <w:sz w:val="22"/>
          <w:szCs w:val="22"/>
        </w:rPr>
        <w:t xml:space="preserve"> e vengono fornite al Presidente della commissione per gli atti conseguenti.</w:t>
      </w:r>
    </w:p>
    <w:p w:rsidR="009D5D64" w:rsidRDefault="009D5D64" w:rsidP="009D5D64">
      <w:pPr>
        <w:pStyle w:val="Corpodeltesto21"/>
        <w:spacing w:line="200" w:lineRule="atLeast"/>
        <w:rPr>
          <w:rFonts w:ascii="Calibri" w:hAnsi="Calibri"/>
          <w:b/>
          <w:bCs/>
          <w:sz w:val="24"/>
          <w:szCs w:val="24"/>
        </w:rPr>
      </w:pPr>
    </w:p>
    <w:p w:rsidR="009D5D64" w:rsidRPr="00AC728E" w:rsidRDefault="009D5D64" w:rsidP="00AC728E">
      <w:pPr>
        <w:pStyle w:val="Corpodeltesto21"/>
        <w:numPr>
          <w:ilvl w:val="0"/>
          <w:numId w:val="1"/>
        </w:numPr>
        <w:spacing w:line="200" w:lineRule="atLeast"/>
        <w:rPr>
          <w:rFonts w:ascii="Calibri" w:hAnsi="Calibri"/>
          <w:bCs/>
          <w:sz w:val="24"/>
          <w:szCs w:val="24"/>
        </w:rPr>
      </w:pPr>
      <w:r w:rsidRPr="00AC728E">
        <w:rPr>
          <w:rFonts w:ascii="Calibri" w:hAnsi="Calibri"/>
          <w:bCs/>
          <w:sz w:val="24"/>
          <w:szCs w:val="24"/>
        </w:rPr>
        <w:t xml:space="preserve">Lo svolgimento della seconda parte della seconda prova può inoltre richiedere, per alcuni strumenti, la </w:t>
      </w:r>
      <w:r w:rsidRPr="00AC728E">
        <w:rPr>
          <w:rFonts w:ascii="Calibri" w:hAnsi="Calibri"/>
          <w:b/>
          <w:bCs/>
          <w:sz w:val="24"/>
          <w:szCs w:val="24"/>
        </w:rPr>
        <w:t>presenza di un accompagnatore</w:t>
      </w:r>
      <w:r w:rsidRPr="00AC728E">
        <w:rPr>
          <w:rFonts w:ascii="Calibri" w:hAnsi="Calibri"/>
          <w:bCs/>
          <w:sz w:val="24"/>
          <w:szCs w:val="24"/>
        </w:rPr>
        <w:t>.</w:t>
      </w:r>
    </w:p>
    <w:p w:rsidR="00AC728E" w:rsidRPr="00F348B7" w:rsidRDefault="009D5D64" w:rsidP="00AC728E">
      <w:pPr>
        <w:pStyle w:val="Corpodeltesto21"/>
        <w:spacing w:line="200" w:lineRule="atLeast"/>
        <w:ind w:left="360"/>
        <w:rPr>
          <w:rFonts w:ascii="Calibri" w:hAnsi="Calibri"/>
          <w:bCs/>
          <w:sz w:val="24"/>
          <w:szCs w:val="24"/>
        </w:rPr>
      </w:pPr>
      <w:r w:rsidRPr="00F348B7">
        <w:rPr>
          <w:rFonts w:ascii="Calibri" w:hAnsi="Calibri"/>
          <w:bCs/>
          <w:sz w:val="24"/>
          <w:szCs w:val="24"/>
        </w:rPr>
        <w:t xml:space="preserve">Il liceo </w:t>
      </w:r>
      <w:r w:rsidR="00530ED2" w:rsidRPr="00F348B7">
        <w:rPr>
          <w:rFonts w:ascii="Calibri" w:hAnsi="Calibri"/>
          <w:bCs/>
          <w:sz w:val="24"/>
          <w:szCs w:val="24"/>
        </w:rPr>
        <w:t xml:space="preserve">xxx, così come richiesto dall’art. 17 comma </w:t>
      </w:r>
      <w:r w:rsidR="00AC728E" w:rsidRPr="00F348B7">
        <w:rPr>
          <w:rFonts w:ascii="Calibri" w:hAnsi="Calibri"/>
          <w:bCs/>
          <w:sz w:val="24"/>
          <w:szCs w:val="24"/>
        </w:rPr>
        <w:t>7</w:t>
      </w:r>
      <w:r w:rsidR="00530ED2" w:rsidRPr="00F348B7">
        <w:rPr>
          <w:rFonts w:ascii="Calibri" w:hAnsi="Calibri"/>
          <w:bCs/>
          <w:sz w:val="24"/>
          <w:szCs w:val="24"/>
        </w:rPr>
        <w:t xml:space="preserve"> della OM 2015/19 </w:t>
      </w:r>
      <w:r w:rsidRPr="00F348B7">
        <w:rPr>
          <w:rFonts w:ascii="Calibri" w:hAnsi="Calibri"/>
          <w:bCs/>
          <w:sz w:val="24"/>
          <w:szCs w:val="24"/>
        </w:rPr>
        <w:t xml:space="preserve">ha deliberato che i docenti accompagnatori siano scelti tra i docenti di pianoforte o di altro strumento del liceo stesso. </w:t>
      </w:r>
    </w:p>
    <w:p w:rsidR="009D5D64" w:rsidRPr="00F348B7" w:rsidRDefault="009D5D64" w:rsidP="00AC728E">
      <w:pPr>
        <w:pStyle w:val="Corpodeltesto21"/>
        <w:spacing w:line="200" w:lineRule="atLeast"/>
        <w:ind w:left="360"/>
        <w:rPr>
          <w:rFonts w:ascii="Calibri" w:hAnsi="Calibri"/>
          <w:bCs/>
          <w:sz w:val="24"/>
          <w:szCs w:val="24"/>
        </w:rPr>
      </w:pPr>
      <w:r w:rsidRPr="00F348B7">
        <w:rPr>
          <w:rFonts w:ascii="Calibri" w:hAnsi="Calibri"/>
          <w:bCs/>
          <w:sz w:val="24"/>
          <w:szCs w:val="24"/>
        </w:rPr>
        <w:t>Nella presentazione individuale di ogni candidato (sezione esecuzione e interpretazione) è indicato non solo il repertorio</w:t>
      </w:r>
      <w:r w:rsidR="00AC728E" w:rsidRPr="00F348B7">
        <w:rPr>
          <w:rFonts w:ascii="Calibri" w:hAnsi="Calibri"/>
          <w:bCs/>
          <w:sz w:val="24"/>
          <w:szCs w:val="24"/>
        </w:rPr>
        <w:t xml:space="preserve"> presentato dal candidato</w:t>
      </w:r>
      <w:r w:rsidRPr="00F348B7">
        <w:rPr>
          <w:rFonts w:ascii="Calibri" w:hAnsi="Calibri"/>
          <w:bCs/>
          <w:sz w:val="24"/>
          <w:szCs w:val="24"/>
        </w:rPr>
        <w:t xml:space="preserve"> ma anche l’eventuale accompagnatore.</w:t>
      </w:r>
    </w:p>
    <w:p w:rsidR="00AC728E" w:rsidRPr="00AC728E" w:rsidRDefault="00AC728E" w:rsidP="00AC728E">
      <w:pPr>
        <w:pStyle w:val="NormaleWeb"/>
        <w:ind w:left="360"/>
        <w:rPr>
          <w:lang w:eastAsia="it-IT"/>
        </w:rPr>
      </w:pPr>
      <w:r w:rsidRPr="00AC728E">
        <w:rPr>
          <w:rFonts w:asciiTheme="minorHAnsi" w:eastAsia="TimesNewRomanPSMT" w:hAnsiTheme="minorHAnsi" w:cstheme="minorHAnsi"/>
          <w:lang w:eastAsia="it-IT"/>
        </w:rPr>
        <w:t xml:space="preserve">Si riporta integralmente la seconda parte del comma 7 art 17 dell’OM 2015/19: </w:t>
      </w:r>
      <w:r w:rsidRPr="00AC728E">
        <w:rPr>
          <w:rFonts w:asciiTheme="minorHAnsi" w:eastAsia="TimesNewRomanPSMT" w:hAnsiTheme="minorHAnsi" w:cstheme="minorHAnsi"/>
          <w:i/>
          <w:sz w:val="22"/>
          <w:szCs w:val="22"/>
          <w:lang w:eastAsia="it-IT"/>
        </w:rPr>
        <w:t xml:space="preserve">“Nei licei musicali, per lo svolgimento della seconda parte della prova d'esame (prova di strumento), il candidato si </w:t>
      </w:r>
      <w:proofErr w:type="spellStart"/>
      <w:r w:rsidRPr="00AC728E">
        <w:rPr>
          <w:rFonts w:asciiTheme="minorHAnsi" w:eastAsia="TimesNewRomanPSMT" w:hAnsiTheme="minorHAnsi" w:cstheme="minorHAnsi"/>
          <w:i/>
          <w:sz w:val="22"/>
          <w:szCs w:val="22"/>
          <w:lang w:eastAsia="it-IT"/>
        </w:rPr>
        <w:t>puo</w:t>
      </w:r>
      <w:proofErr w:type="spellEnd"/>
      <w:r w:rsidRPr="00AC728E">
        <w:rPr>
          <w:rFonts w:asciiTheme="minorHAnsi" w:eastAsia="TimesNewRomanPSMT" w:hAnsiTheme="minorHAnsi" w:cstheme="minorHAnsi"/>
          <w:i/>
          <w:sz w:val="22"/>
          <w:szCs w:val="22"/>
          <w:lang w:eastAsia="it-IT"/>
        </w:rPr>
        <w:t xml:space="preserve">̀ avvalere di un accompagnamento alla sua </w:t>
      </w:r>
      <w:r w:rsidRPr="00AC728E">
        <w:rPr>
          <w:rFonts w:asciiTheme="minorHAnsi" w:hAnsiTheme="minorHAnsi" w:cstheme="minorHAnsi"/>
          <w:i/>
          <w:iCs/>
          <w:sz w:val="22"/>
          <w:szCs w:val="22"/>
          <w:lang w:eastAsia="it-IT"/>
        </w:rPr>
        <w:t xml:space="preserve">performance, </w:t>
      </w:r>
      <w:r w:rsidRPr="00AC728E">
        <w:rPr>
          <w:rFonts w:asciiTheme="minorHAnsi" w:eastAsia="TimesNewRomanPSMT" w:hAnsiTheme="minorHAnsi" w:cstheme="minorHAnsi"/>
          <w:i/>
          <w:sz w:val="22"/>
          <w:szCs w:val="22"/>
          <w:lang w:eastAsia="it-IT"/>
        </w:rPr>
        <w:t xml:space="preserve">qualora la stessa non sia individuale. L'accompagnamento strumentale alla prova </w:t>
      </w:r>
      <w:proofErr w:type="spellStart"/>
      <w:r w:rsidRPr="00AC728E">
        <w:rPr>
          <w:rFonts w:asciiTheme="minorHAnsi" w:eastAsia="TimesNewRomanPSMT" w:hAnsiTheme="minorHAnsi" w:cstheme="minorHAnsi"/>
          <w:i/>
          <w:sz w:val="22"/>
          <w:szCs w:val="22"/>
          <w:lang w:eastAsia="it-IT"/>
        </w:rPr>
        <w:t>puo</w:t>
      </w:r>
      <w:proofErr w:type="spellEnd"/>
      <w:r w:rsidRPr="00AC728E">
        <w:rPr>
          <w:rFonts w:asciiTheme="minorHAnsi" w:eastAsia="TimesNewRomanPSMT" w:hAnsiTheme="minorHAnsi" w:cstheme="minorHAnsi"/>
          <w:i/>
          <w:sz w:val="22"/>
          <w:szCs w:val="22"/>
          <w:lang w:eastAsia="it-IT"/>
        </w:rPr>
        <w:t xml:space="preserve">̀ essere effettuato solo ed esclusivamente da personale docente in servizio nel liceo musicale e indicato nel documento del consiglio di classe. Nei licei coreutici, per lo svolgimento della seconda parte della prova d'esame (esecuzione individuale) non è consentita l'esecuzione di passi a due/duetti, essendo </w:t>
      </w:r>
      <w:proofErr w:type="spellStart"/>
      <w:r w:rsidRPr="00AC728E">
        <w:rPr>
          <w:rFonts w:asciiTheme="minorHAnsi" w:eastAsia="TimesNewRomanPSMT" w:hAnsiTheme="minorHAnsi" w:cstheme="minorHAnsi"/>
          <w:i/>
          <w:sz w:val="22"/>
          <w:szCs w:val="22"/>
          <w:lang w:eastAsia="it-IT"/>
        </w:rPr>
        <w:t>gia</w:t>
      </w:r>
      <w:proofErr w:type="spellEnd"/>
      <w:r w:rsidRPr="00AC728E">
        <w:rPr>
          <w:rFonts w:asciiTheme="minorHAnsi" w:eastAsia="TimesNewRomanPSMT" w:hAnsiTheme="minorHAnsi" w:cstheme="minorHAnsi"/>
          <w:i/>
          <w:sz w:val="22"/>
          <w:szCs w:val="22"/>
          <w:lang w:eastAsia="it-IT"/>
        </w:rPr>
        <w:t xml:space="preserve">̀ stata offerta al candidato la </w:t>
      </w:r>
      <w:proofErr w:type="spellStart"/>
      <w:r w:rsidRPr="00AC728E">
        <w:rPr>
          <w:rFonts w:asciiTheme="minorHAnsi" w:eastAsia="TimesNewRomanPSMT" w:hAnsiTheme="minorHAnsi" w:cstheme="minorHAnsi"/>
          <w:i/>
          <w:sz w:val="22"/>
          <w:szCs w:val="22"/>
          <w:lang w:eastAsia="it-IT"/>
        </w:rPr>
        <w:t>possibilita</w:t>
      </w:r>
      <w:proofErr w:type="spellEnd"/>
      <w:r w:rsidRPr="00AC728E">
        <w:rPr>
          <w:rFonts w:asciiTheme="minorHAnsi" w:eastAsia="TimesNewRomanPSMT" w:hAnsiTheme="minorHAnsi" w:cstheme="minorHAnsi"/>
          <w:i/>
          <w:sz w:val="22"/>
          <w:szCs w:val="22"/>
          <w:lang w:eastAsia="it-IT"/>
        </w:rPr>
        <w:t xml:space="preserve">̀ di esibirsi in una </w:t>
      </w:r>
      <w:r w:rsidRPr="00AC728E">
        <w:rPr>
          <w:rFonts w:asciiTheme="minorHAnsi" w:hAnsiTheme="minorHAnsi" w:cstheme="minorHAnsi"/>
          <w:i/>
          <w:iCs/>
          <w:sz w:val="22"/>
          <w:szCs w:val="22"/>
          <w:lang w:eastAsia="it-IT"/>
        </w:rPr>
        <w:t xml:space="preserve">performance </w:t>
      </w:r>
      <w:r w:rsidRPr="00AC728E">
        <w:rPr>
          <w:rFonts w:asciiTheme="minorHAnsi" w:eastAsia="TimesNewRomanPSMT" w:hAnsiTheme="minorHAnsi" w:cstheme="minorHAnsi"/>
          <w:i/>
          <w:sz w:val="22"/>
          <w:szCs w:val="22"/>
          <w:lang w:eastAsia="it-IT"/>
        </w:rPr>
        <w:t>collettiva nella prima parte della seconda prova”.</w:t>
      </w:r>
      <w:r w:rsidRPr="00AC728E">
        <w:rPr>
          <w:rFonts w:ascii="TimesNewRomanPSMT" w:eastAsia="TimesNewRomanPSMT" w:hAnsi="TimesNewRomanPSMT" w:cs="TimesNewRomanPSMT" w:hint="eastAsia"/>
          <w:lang w:eastAsia="it-IT"/>
        </w:rPr>
        <w:t xml:space="preserve"> </w:t>
      </w:r>
    </w:p>
    <w:p w:rsidR="008E6A57" w:rsidRDefault="00F060C7"/>
    <w:sectPr w:rsidR="008E6A57" w:rsidSect="001E572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2A87" w:usb1="08070000" w:usb2="00000010" w:usb3="00000000" w:csb0="0002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75A0C"/>
    <w:multiLevelType w:val="hybridMultilevel"/>
    <w:tmpl w:val="B866C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035629A"/>
    <w:multiLevelType w:val="hybridMultilevel"/>
    <w:tmpl w:val="0B90FD88"/>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D64"/>
    <w:rsid w:val="00063A63"/>
    <w:rsid w:val="001578F1"/>
    <w:rsid w:val="001E5726"/>
    <w:rsid w:val="002C001D"/>
    <w:rsid w:val="00530ED2"/>
    <w:rsid w:val="006972F3"/>
    <w:rsid w:val="00825108"/>
    <w:rsid w:val="009C06E8"/>
    <w:rsid w:val="009D5D64"/>
    <w:rsid w:val="00AC728E"/>
    <w:rsid w:val="00AD18A3"/>
    <w:rsid w:val="00C85F1D"/>
    <w:rsid w:val="00F060C7"/>
    <w:rsid w:val="00F348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5D64"/>
    <w:pPr>
      <w:suppressAutoHyphens/>
      <w:jc w:val="both"/>
    </w:pPr>
    <w:rPr>
      <w:rFonts w:ascii="Times New Roman" w:eastAsia="Times New Roman" w:hAnsi="Times New Roman" w:cs="Times New Roman"/>
      <w:sz w:val="28"/>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9D5D64"/>
    <w:pPr>
      <w:spacing w:after="120" w:line="480" w:lineRule="auto"/>
    </w:pPr>
  </w:style>
  <w:style w:type="paragraph" w:styleId="NormaleWeb">
    <w:name w:val="Normal (Web)"/>
    <w:basedOn w:val="Normale"/>
    <w:uiPriority w:val="99"/>
    <w:unhideWhenUsed/>
    <w:rsid w:val="00530ED2"/>
    <w:rPr>
      <w:sz w:val="24"/>
      <w:szCs w:val="24"/>
    </w:rPr>
  </w:style>
  <w:style w:type="paragraph" w:styleId="Paragrafoelenco">
    <w:name w:val="List Paragraph"/>
    <w:basedOn w:val="Normale"/>
    <w:uiPriority w:val="34"/>
    <w:qFormat/>
    <w:rsid w:val="009C06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5D64"/>
    <w:pPr>
      <w:suppressAutoHyphens/>
      <w:jc w:val="both"/>
    </w:pPr>
    <w:rPr>
      <w:rFonts w:ascii="Times New Roman" w:eastAsia="Times New Roman" w:hAnsi="Times New Roman" w:cs="Times New Roman"/>
      <w:sz w:val="28"/>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9D5D64"/>
    <w:pPr>
      <w:spacing w:after="120" w:line="480" w:lineRule="auto"/>
    </w:pPr>
  </w:style>
  <w:style w:type="paragraph" w:styleId="NormaleWeb">
    <w:name w:val="Normal (Web)"/>
    <w:basedOn w:val="Normale"/>
    <w:uiPriority w:val="99"/>
    <w:unhideWhenUsed/>
    <w:rsid w:val="00530ED2"/>
    <w:rPr>
      <w:sz w:val="24"/>
      <w:szCs w:val="24"/>
    </w:rPr>
  </w:style>
  <w:style w:type="paragraph" w:styleId="Paragrafoelenco">
    <w:name w:val="List Paragraph"/>
    <w:basedOn w:val="Normale"/>
    <w:uiPriority w:val="34"/>
    <w:qFormat/>
    <w:rsid w:val="009C0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9444">
      <w:bodyDiv w:val="1"/>
      <w:marLeft w:val="0"/>
      <w:marRight w:val="0"/>
      <w:marTop w:val="0"/>
      <w:marBottom w:val="0"/>
      <w:divBdr>
        <w:top w:val="none" w:sz="0" w:space="0" w:color="auto"/>
        <w:left w:val="none" w:sz="0" w:space="0" w:color="auto"/>
        <w:bottom w:val="none" w:sz="0" w:space="0" w:color="auto"/>
        <w:right w:val="none" w:sz="0" w:space="0" w:color="auto"/>
      </w:divBdr>
      <w:divsChild>
        <w:div w:id="1521314123">
          <w:marLeft w:val="0"/>
          <w:marRight w:val="0"/>
          <w:marTop w:val="0"/>
          <w:marBottom w:val="0"/>
          <w:divBdr>
            <w:top w:val="none" w:sz="0" w:space="0" w:color="auto"/>
            <w:left w:val="none" w:sz="0" w:space="0" w:color="auto"/>
            <w:bottom w:val="none" w:sz="0" w:space="0" w:color="auto"/>
            <w:right w:val="none" w:sz="0" w:space="0" w:color="auto"/>
          </w:divBdr>
          <w:divsChild>
            <w:div w:id="2131436846">
              <w:marLeft w:val="0"/>
              <w:marRight w:val="0"/>
              <w:marTop w:val="0"/>
              <w:marBottom w:val="0"/>
              <w:divBdr>
                <w:top w:val="none" w:sz="0" w:space="0" w:color="auto"/>
                <w:left w:val="none" w:sz="0" w:space="0" w:color="auto"/>
                <w:bottom w:val="none" w:sz="0" w:space="0" w:color="auto"/>
                <w:right w:val="none" w:sz="0" w:space="0" w:color="auto"/>
              </w:divBdr>
              <w:divsChild>
                <w:div w:id="3738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8043">
      <w:bodyDiv w:val="1"/>
      <w:marLeft w:val="0"/>
      <w:marRight w:val="0"/>
      <w:marTop w:val="0"/>
      <w:marBottom w:val="0"/>
      <w:divBdr>
        <w:top w:val="none" w:sz="0" w:space="0" w:color="auto"/>
        <w:left w:val="none" w:sz="0" w:space="0" w:color="auto"/>
        <w:bottom w:val="none" w:sz="0" w:space="0" w:color="auto"/>
        <w:right w:val="none" w:sz="0" w:space="0" w:color="auto"/>
      </w:divBdr>
      <w:divsChild>
        <w:div w:id="1123039408">
          <w:marLeft w:val="0"/>
          <w:marRight w:val="0"/>
          <w:marTop w:val="0"/>
          <w:marBottom w:val="0"/>
          <w:divBdr>
            <w:top w:val="none" w:sz="0" w:space="0" w:color="auto"/>
            <w:left w:val="none" w:sz="0" w:space="0" w:color="auto"/>
            <w:bottom w:val="none" w:sz="0" w:space="0" w:color="auto"/>
            <w:right w:val="none" w:sz="0" w:space="0" w:color="auto"/>
          </w:divBdr>
          <w:divsChild>
            <w:div w:id="1305156685">
              <w:marLeft w:val="0"/>
              <w:marRight w:val="0"/>
              <w:marTop w:val="0"/>
              <w:marBottom w:val="0"/>
              <w:divBdr>
                <w:top w:val="none" w:sz="0" w:space="0" w:color="auto"/>
                <w:left w:val="none" w:sz="0" w:space="0" w:color="auto"/>
                <w:bottom w:val="none" w:sz="0" w:space="0" w:color="auto"/>
                <w:right w:val="none" w:sz="0" w:space="0" w:color="auto"/>
              </w:divBdr>
              <w:divsChild>
                <w:div w:id="17822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40791">
      <w:bodyDiv w:val="1"/>
      <w:marLeft w:val="0"/>
      <w:marRight w:val="0"/>
      <w:marTop w:val="0"/>
      <w:marBottom w:val="0"/>
      <w:divBdr>
        <w:top w:val="none" w:sz="0" w:space="0" w:color="auto"/>
        <w:left w:val="none" w:sz="0" w:space="0" w:color="auto"/>
        <w:bottom w:val="none" w:sz="0" w:space="0" w:color="auto"/>
        <w:right w:val="none" w:sz="0" w:space="0" w:color="auto"/>
      </w:divBdr>
      <w:divsChild>
        <w:div w:id="1171985898">
          <w:marLeft w:val="0"/>
          <w:marRight w:val="0"/>
          <w:marTop w:val="0"/>
          <w:marBottom w:val="0"/>
          <w:divBdr>
            <w:top w:val="none" w:sz="0" w:space="0" w:color="auto"/>
            <w:left w:val="none" w:sz="0" w:space="0" w:color="auto"/>
            <w:bottom w:val="none" w:sz="0" w:space="0" w:color="auto"/>
            <w:right w:val="none" w:sz="0" w:space="0" w:color="auto"/>
          </w:divBdr>
          <w:divsChild>
            <w:div w:id="1712218541">
              <w:marLeft w:val="0"/>
              <w:marRight w:val="0"/>
              <w:marTop w:val="0"/>
              <w:marBottom w:val="0"/>
              <w:divBdr>
                <w:top w:val="none" w:sz="0" w:space="0" w:color="auto"/>
                <w:left w:val="none" w:sz="0" w:space="0" w:color="auto"/>
                <w:bottom w:val="none" w:sz="0" w:space="0" w:color="auto"/>
                <w:right w:val="none" w:sz="0" w:space="0" w:color="auto"/>
              </w:divBdr>
              <w:divsChild>
                <w:div w:id="260459818">
                  <w:marLeft w:val="0"/>
                  <w:marRight w:val="0"/>
                  <w:marTop w:val="0"/>
                  <w:marBottom w:val="0"/>
                  <w:divBdr>
                    <w:top w:val="none" w:sz="0" w:space="0" w:color="auto"/>
                    <w:left w:val="none" w:sz="0" w:space="0" w:color="auto"/>
                    <w:bottom w:val="none" w:sz="0" w:space="0" w:color="auto"/>
                    <w:right w:val="none" w:sz="0" w:space="0" w:color="auto"/>
                  </w:divBdr>
                  <w:divsChild>
                    <w:div w:id="14281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58705">
      <w:bodyDiv w:val="1"/>
      <w:marLeft w:val="0"/>
      <w:marRight w:val="0"/>
      <w:marTop w:val="0"/>
      <w:marBottom w:val="0"/>
      <w:divBdr>
        <w:top w:val="none" w:sz="0" w:space="0" w:color="auto"/>
        <w:left w:val="none" w:sz="0" w:space="0" w:color="auto"/>
        <w:bottom w:val="none" w:sz="0" w:space="0" w:color="auto"/>
        <w:right w:val="none" w:sz="0" w:space="0" w:color="auto"/>
      </w:divBdr>
      <w:divsChild>
        <w:div w:id="1352031064">
          <w:marLeft w:val="0"/>
          <w:marRight w:val="0"/>
          <w:marTop w:val="0"/>
          <w:marBottom w:val="0"/>
          <w:divBdr>
            <w:top w:val="none" w:sz="0" w:space="0" w:color="auto"/>
            <w:left w:val="none" w:sz="0" w:space="0" w:color="auto"/>
            <w:bottom w:val="none" w:sz="0" w:space="0" w:color="auto"/>
            <w:right w:val="none" w:sz="0" w:space="0" w:color="auto"/>
          </w:divBdr>
          <w:divsChild>
            <w:div w:id="1956523210">
              <w:marLeft w:val="0"/>
              <w:marRight w:val="0"/>
              <w:marTop w:val="0"/>
              <w:marBottom w:val="0"/>
              <w:divBdr>
                <w:top w:val="none" w:sz="0" w:space="0" w:color="auto"/>
                <w:left w:val="none" w:sz="0" w:space="0" w:color="auto"/>
                <w:bottom w:val="none" w:sz="0" w:space="0" w:color="auto"/>
                <w:right w:val="none" w:sz="0" w:space="0" w:color="auto"/>
              </w:divBdr>
              <w:divsChild>
                <w:div w:id="13052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5036">
      <w:bodyDiv w:val="1"/>
      <w:marLeft w:val="0"/>
      <w:marRight w:val="0"/>
      <w:marTop w:val="0"/>
      <w:marBottom w:val="0"/>
      <w:divBdr>
        <w:top w:val="none" w:sz="0" w:space="0" w:color="auto"/>
        <w:left w:val="none" w:sz="0" w:space="0" w:color="auto"/>
        <w:bottom w:val="none" w:sz="0" w:space="0" w:color="auto"/>
        <w:right w:val="none" w:sz="0" w:space="0" w:color="auto"/>
      </w:divBdr>
      <w:divsChild>
        <w:div w:id="1092050836">
          <w:marLeft w:val="0"/>
          <w:marRight w:val="0"/>
          <w:marTop w:val="0"/>
          <w:marBottom w:val="0"/>
          <w:divBdr>
            <w:top w:val="none" w:sz="0" w:space="0" w:color="auto"/>
            <w:left w:val="none" w:sz="0" w:space="0" w:color="auto"/>
            <w:bottom w:val="none" w:sz="0" w:space="0" w:color="auto"/>
            <w:right w:val="none" w:sz="0" w:space="0" w:color="auto"/>
          </w:divBdr>
          <w:divsChild>
            <w:div w:id="535045434">
              <w:marLeft w:val="0"/>
              <w:marRight w:val="0"/>
              <w:marTop w:val="0"/>
              <w:marBottom w:val="0"/>
              <w:divBdr>
                <w:top w:val="none" w:sz="0" w:space="0" w:color="auto"/>
                <w:left w:val="none" w:sz="0" w:space="0" w:color="auto"/>
                <w:bottom w:val="none" w:sz="0" w:space="0" w:color="auto"/>
                <w:right w:val="none" w:sz="0" w:space="0" w:color="auto"/>
              </w:divBdr>
              <w:divsChild>
                <w:div w:id="12853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19778">
      <w:bodyDiv w:val="1"/>
      <w:marLeft w:val="0"/>
      <w:marRight w:val="0"/>
      <w:marTop w:val="0"/>
      <w:marBottom w:val="0"/>
      <w:divBdr>
        <w:top w:val="none" w:sz="0" w:space="0" w:color="auto"/>
        <w:left w:val="none" w:sz="0" w:space="0" w:color="auto"/>
        <w:bottom w:val="none" w:sz="0" w:space="0" w:color="auto"/>
        <w:right w:val="none" w:sz="0" w:space="0" w:color="auto"/>
      </w:divBdr>
      <w:divsChild>
        <w:div w:id="1056322456">
          <w:marLeft w:val="0"/>
          <w:marRight w:val="0"/>
          <w:marTop w:val="0"/>
          <w:marBottom w:val="0"/>
          <w:divBdr>
            <w:top w:val="none" w:sz="0" w:space="0" w:color="auto"/>
            <w:left w:val="none" w:sz="0" w:space="0" w:color="auto"/>
            <w:bottom w:val="none" w:sz="0" w:space="0" w:color="auto"/>
            <w:right w:val="none" w:sz="0" w:space="0" w:color="auto"/>
          </w:divBdr>
          <w:divsChild>
            <w:div w:id="1186560263">
              <w:marLeft w:val="0"/>
              <w:marRight w:val="0"/>
              <w:marTop w:val="0"/>
              <w:marBottom w:val="0"/>
              <w:divBdr>
                <w:top w:val="none" w:sz="0" w:space="0" w:color="auto"/>
                <w:left w:val="none" w:sz="0" w:space="0" w:color="auto"/>
                <w:bottom w:val="none" w:sz="0" w:space="0" w:color="auto"/>
                <w:right w:val="none" w:sz="0" w:space="0" w:color="auto"/>
              </w:divBdr>
              <w:divsChild>
                <w:div w:id="10293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96779">
      <w:bodyDiv w:val="1"/>
      <w:marLeft w:val="0"/>
      <w:marRight w:val="0"/>
      <w:marTop w:val="0"/>
      <w:marBottom w:val="0"/>
      <w:divBdr>
        <w:top w:val="none" w:sz="0" w:space="0" w:color="auto"/>
        <w:left w:val="none" w:sz="0" w:space="0" w:color="auto"/>
        <w:bottom w:val="none" w:sz="0" w:space="0" w:color="auto"/>
        <w:right w:val="none" w:sz="0" w:space="0" w:color="auto"/>
      </w:divBdr>
      <w:divsChild>
        <w:div w:id="1740790910">
          <w:marLeft w:val="0"/>
          <w:marRight w:val="0"/>
          <w:marTop w:val="0"/>
          <w:marBottom w:val="0"/>
          <w:divBdr>
            <w:top w:val="none" w:sz="0" w:space="0" w:color="auto"/>
            <w:left w:val="none" w:sz="0" w:space="0" w:color="auto"/>
            <w:bottom w:val="none" w:sz="0" w:space="0" w:color="auto"/>
            <w:right w:val="none" w:sz="0" w:space="0" w:color="auto"/>
          </w:divBdr>
          <w:divsChild>
            <w:div w:id="1161581373">
              <w:marLeft w:val="0"/>
              <w:marRight w:val="0"/>
              <w:marTop w:val="0"/>
              <w:marBottom w:val="0"/>
              <w:divBdr>
                <w:top w:val="none" w:sz="0" w:space="0" w:color="auto"/>
                <w:left w:val="none" w:sz="0" w:space="0" w:color="auto"/>
                <w:bottom w:val="none" w:sz="0" w:space="0" w:color="auto"/>
                <w:right w:val="none" w:sz="0" w:space="0" w:color="auto"/>
              </w:divBdr>
              <w:divsChild>
                <w:div w:id="445782707">
                  <w:marLeft w:val="0"/>
                  <w:marRight w:val="0"/>
                  <w:marTop w:val="0"/>
                  <w:marBottom w:val="0"/>
                  <w:divBdr>
                    <w:top w:val="none" w:sz="0" w:space="0" w:color="auto"/>
                    <w:left w:val="none" w:sz="0" w:space="0" w:color="auto"/>
                    <w:bottom w:val="none" w:sz="0" w:space="0" w:color="auto"/>
                    <w:right w:val="none" w:sz="0" w:space="0" w:color="auto"/>
                  </w:divBdr>
                  <w:divsChild>
                    <w:div w:id="2021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24621">
      <w:bodyDiv w:val="1"/>
      <w:marLeft w:val="0"/>
      <w:marRight w:val="0"/>
      <w:marTop w:val="0"/>
      <w:marBottom w:val="0"/>
      <w:divBdr>
        <w:top w:val="none" w:sz="0" w:space="0" w:color="auto"/>
        <w:left w:val="none" w:sz="0" w:space="0" w:color="auto"/>
        <w:bottom w:val="none" w:sz="0" w:space="0" w:color="auto"/>
        <w:right w:val="none" w:sz="0" w:space="0" w:color="auto"/>
      </w:divBdr>
      <w:divsChild>
        <w:div w:id="1896818263">
          <w:marLeft w:val="0"/>
          <w:marRight w:val="0"/>
          <w:marTop w:val="0"/>
          <w:marBottom w:val="0"/>
          <w:divBdr>
            <w:top w:val="none" w:sz="0" w:space="0" w:color="auto"/>
            <w:left w:val="none" w:sz="0" w:space="0" w:color="auto"/>
            <w:bottom w:val="none" w:sz="0" w:space="0" w:color="auto"/>
            <w:right w:val="none" w:sz="0" w:space="0" w:color="auto"/>
          </w:divBdr>
          <w:divsChild>
            <w:div w:id="1867451095">
              <w:marLeft w:val="0"/>
              <w:marRight w:val="0"/>
              <w:marTop w:val="0"/>
              <w:marBottom w:val="0"/>
              <w:divBdr>
                <w:top w:val="none" w:sz="0" w:space="0" w:color="auto"/>
                <w:left w:val="none" w:sz="0" w:space="0" w:color="auto"/>
                <w:bottom w:val="none" w:sz="0" w:space="0" w:color="auto"/>
                <w:right w:val="none" w:sz="0" w:space="0" w:color="auto"/>
              </w:divBdr>
              <w:divsChild>
                <w:div w:id="106425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72291">
      <w:bodyDiv w:val="1"/>
      <w:marLeft w:val="0"/>
      <w:marRight w:val="0"/>
      <w:marTop w:val="0"/>
      <w:marBottom w:val="0"/>
      <w:divBdr>
        <w:top w:val="none" w:sz="0" w:space="0" w:color="auto"/>
        <w:left w:val="none" w:sz="0" w:space="0" w:color="auto"/>
        <w:bottom w:val="none" w:sz="0" w:space="0" w:color="auto"/>
        <w:right w:val="none" w:sz="0" w:space="0" w:color="auto"/>
      </w:divBdr>
      <w:divsChild>
        <w:div w:id="926308845">
          <w:marLeft w:val="0"/>
          <w:marRight w:val="0"/>
          <w:marTop w:val="0"/>
          <w:marBottom w:val="0"/>
          <w:divBdr>
            <w:top w:val="none" w:sz="0" w:space="0" w:color="auto"/>
            <w:left w:val="none" w:sz="0" w:space="0" w:color="auto"/>
            <w:bottom w:val="none" w:sz="0" w:space="0" w:color="auto"/>
            <w:right w:val="none" w:sz="0" w:space="0" w:color="auto"/>
          </w:divBdr>
          <w:divsChild>
            <w:div w:id="418872537">
              <w:marLeft w:val="0"/>
              <w:marRight w:val="0"/>
              <w:marTop w:val="0"/>
              <w:marBottom w:val="0"/>
              <w:divBdr>
                <w:top w:val="none" w:sz="0" w:space="0" w:color="auto"/>
                <w:left w:val="none" w:sz="0" w:space="0" w:color="auto"/>
                <w:bottom w:val="none" w:sz="0" w:space="0" w:color="auto"/>
                <w:right w:val="none" w:sz="0" w:space="0" w:color="auto"/>
              </w:divBdr>
              <w:divsChild>
                <w:div w:id="8969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682</Words>
  <Characters>3893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Aluisi Tosolini</dc:creator>
  <cp:keywords/>
  <dc:description/>
  <cp:lastModifiedBy>Administrator</cp:lastModifiedBy>
  <cp:revision>8</cp:revision>
  <dcterms:created xsi:type="dcterms:W3CDTF">2019-03-26T15:19:00Z</dcterms:created>
  <dcterms:modified xsi:type="dcterms:W3CDTF">2019-05-28T12:12:00Z</dcterms:modified>
</cp:coreProperties>
</file>